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Pr>
          <w:b w:val="1"/>
          <w:bCs w:val="1"/>
          <w:sz w:val="24"/>
          <w:szCs w:val="24"/>
          <w:rtl w:val="0"/>
        </w:rPr>
        <w:t xml:space="preserve">FORMULARUL ZONELOR PRIORITARE PENTRU BIODIVERSITATE</w:t>
      </w:r>
      <w:r>
        <w:rPr>
          <w:rtl w:val="0"/>
        </w:rPr>
      </w:r>
    </w:p>
    <w:p w:rsidR="00000000" w:rsidDel="00000000" w:rsidP="00000000" w:rsidRDefault="00000000" w:rsidRPr="00000000" w14:paraId="00000002">
      <w:pPr>
        <w:spacing w:after="0" w:lineRule="auto"/>
        <w:rPr/>
      </w:pPr>
      <w:r>
        <w:rPr>
          <w:rtl w:val="0"/>
        </w:rPr>
      </w:r>
    </w:p>
    <w:p w:rsidR="00000000" w:rsidDel="00000000" w:rsidP="00000000" w:rsidRDefault="00000000" w:rsidRPr="00000000" w14:paraId="00000003">
      <w:pPr>
        <w:jc w:val="center"/>
        <w:rPr/>
      </w:pPr>
      <w:r>
        <w:rPr>
          <w:b w:val="1"/>
          <w:bCs w:val="1"/>
          <w:sz w:val="22"/>
          <w:szCs w:val="22"/>
          <w:rtl w:val="0"/>
        </w:rPr>
        <w:t xml:space="preserve">1. Identificarea Zonelor Prioritare pentru Biodiversitate (ZPB)</w:t>
      </w:r>
      <w:r>
        <w:rPr>
          <w:rtl w:val="0"/>
        </w:rPr>
      </w:r>
    </w:p>
    <w:p w:rsidR="00000000" w:rsidDel="00000000" w:rsidP="00000000" w:rsidRDefault="00000000" w:rsidRPr="00000000" w14:paraId="00000004">
      <w:pPr>
        <w:rPr/>
      </w:pPr>
      <w:r>
        <w:rPr>
          <w:rtl w:val="0"/>
        </w:rPr>
      </w:r>
    </w:p>
    <w:p w:rsidR="00000000" w:rsidDel="00000000" w:rsidP="00000000" w:rsidRDefault="00000000" w:rsidRPr="00000000" w14:paraId="00000005">
      <w:pPr>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RONPA0584ZPB</w:t>
      </w:r>
      <w:r>
        <w:rPr>
          <w:rtl w:val="0"/>
        </w:rPr>
      </w:r>
    </w:p>
    <w:p w:rsidR="00000000" w:rsidDel="00000000" w:rsidP="00000000" w:rsidRDefault="00000000" w:rsidRPr="00000000" w14:paraId="00000007">
      <w:pPr>
        <w:spacing w:after="0" w:lineRule="auto"/>
        <w:rPr/>
      </w:pPr>
      <w:r>
        <w:rPr>
          <w:i w:val="1"/>
          <w:iCs w:val="1"/>
          <w:color w:val="808080"/>
          <w:rtl w:val="0"/>
        </w:rPr>
        <w:t xml:space="preserve">*Codare temporară, aceasta va fi actualizată conform specificațiilor de raportare</w:t>
      </w:r>
      <w:r>
        <w:rPr>
          <w:rtl w:val="0"/>
        </w:rPr>
      </w:r>
    </w:p>
    <w:p w:rsidR="00000000" w:rsidDel="00000000" w:rsidP="00000000" w:rsidRDefault="00000000" w:rsidRPr="00000000" w14:paraId="00000008">
      <w:pPr>
        <w:rPr/>
      </w:pPr>
      <w:r>
        <w:rPr>
          <w:rtl w:val="0"/>
        </w:rPr>
      </w:r>
    </w:p>
    <w:p w:rsidR="00000000" w:rsidDel="00000000" w:rsidP="00000000" w:rsidRDefault="00000000" w:rsidRPr="00000000" w14:paraId="00000009">
      <w:pPr>
        <w:rPr/>
      </w:pPr>
      <w:r>
        <w:rPr>
          <w:b w:val="1"/>
          <w:bCs w:val="1"/>
          <w:sz w:val="22"/>
          <w:szCs w:val="22"/>
          <w:rtl w:val="0"/>
        </w:rPr>
        <w:t xml:space="preserve">1.2. Denumire ZPB</w:t>
      </w:r>
      <w:r>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Peștera cu Oase</w:t>
      </w:r>
      <w:r>
        <w:rPr>
          <w:rtl w:val="0"/>
        </w:rPr>
      </w:r>
    </w:p>
    <w:p w:rsidR="00000000" w:rsidDel="00000000" w:rsidP="00000000" w:rsidRDefault="00000000" w:rsidRPr="00000000" w14:paraId="0000000B">
      <w:pPr>
        <w:rPr/>
      </w:pPr>
      <w:r>
        <w:rPr>
          <w:rtl w:val="0"/>
        </w:rPr>
      </w:r>
    </w:p>
    <w:p w:rsidR="00000000" w:rsidDel="00000000" w:rsidP="00000000" w:rsidRDefault="00000000" w:rsidRPr="00000000" w14:paraId="0000000C">
      <w:pPr>
        <w:rPr/>
      </w:pPr>
      <w:r>
        <w:rPr>
          <w:b w:val="1"/>
          <w:bCs w:val="1"/>
          <w:sz w:val="22"/>
          <w:szCs w:val="22"/>
          <w:rtl w:val="0"/>
        </w:rPr>
        <w:t xml:space="preserve">1.3. Încadrarea ZPB în</w:t>
      </w:r>
      <w:r>
        <w:rPr>
          <w:rtl w:val="0"/>
        </w:rPr>
      </w:r>
    </w:p>
    <w:p w:rsidR="00000000" w:rsidDel="00000000" w:rsidP="00000000" w:rsidRDefault="00000000" w:rsidRPr="00000000" w14:paraId="0000000D">
      <w:pPr>
        <w:rPr/>
      </w:pPr>
      <w:r>
        <w:rPr>
          <w:sz w:val="22"/>
          <w:szCs w:val="22"/>
          <w:rtl w:val="0"/>
        </w:rPr>
        <w:t xml:space="preserve">☑ Arie naturală protejată</w:t>
      </w:r>
      <w:r>
        <w:rPr>
          <w:rtl w:val="0"/>
        </w:rPr>
      </w:r>
    </w:p>
    <w:p w:rsidR="00000000" w:rsidDel="00000000" w:rsidP="00000000" w:rsidRDefault="00000000" w:rsidRPr="00000000" w14:paraId="0000000E">
      <w:pPr>
        <w:rPr/>
      </w:pPr>
      <w:r>
        <w:rPr>
          <w:sz w:val="22"/>
          <w:szCs w:val="22"/>
          <w:rtl w:val="0"/>
        </w:rPr>
        <w:t xml:space="preserve">☐ OECM (Other effective area-based conservation measures)</w:t>
      </w:r>
      <w:r>
        <w:rPr>
          <w:rtl w:val="0"/>
        </w:rPr>
      </w:r>
    </w:p>
    <w:p w:rsidR="00000000" w:rsidDel="00000000" w:rsidP="00000000" w:rsidRDefault="00000000" w:rsidRPr="00000000" w14:paraId="0000000F">
      <w:pPr>
        <w:rPr/>
      </w:pPr>
      <w:r>
        <w:rPr>
          <w:sz w:val="22"/>
          <w:szCs w:val="22"/>
          <w:rtl w:val="0"/>
        </w:rPr>
        <w:t xml:space="preserve">☐ Zonă potențială care să devină arie naturală protejată </w:t>
      </w:r>
      <w:r>
        <w:rPr>
          <w:rtl w:val="0"/>
        </w:rPr>
      </w:r>
    </w:p>
    <w:p w:rsidR="00000000" w:rsidDel="00000000" w:rsidP="00000000" w:rsidRDefault="00000000" w:rsidRPr="00000000" w14:paraId="00000010">
      <w:pPr>
        <w:rPr/>
      </w:pPr>
      <w:r>
        <w:rPr>
          <w:rtl w:val="0"/>
        </w:rPr>
      </w:r>
    </w:p>
    <w:tbl>
      <w:tblPr>
        <w:tblStyle w:val="Table1"/>
        <w:tblW w:w="9000.0" w:type="dxa"/>
        <w:jc w:val="left"/>
        <w:tblLayout w:type="fixed"/>
        <w:tblLook w:val="0400"/>
      </w:tblPr>
      <w:tblGrid>
        <w:gridCol w:w="4500"/>
        <w:gridCol w:w="4500"/>
      </w:tblGrid>
      <w:tr>
        <w:trPr>
          <w:cantSplit w:val="0"/>
          <w:tblHeader w:val="0"/>
        </w:trPr>
        <w:tc>
          <w:tcPr/>
          <w:p w:rsidR="00000000" w:rsidDel="00000000" w:rsidP="00000000" w:rsidRDefault="00000000" w:rsidRPr="00000000" w14:paraId="00000011">
            <w:pPr>
              <w:rPr/>
            </w:pPr>
            <w:r>
              <w:rPr>
                <w:b w:val="1"/>
                <w:bCs w:val="1"/>
                <w:sz w:val="22"/>
                <w:szCs w:val="22"/>
                <w:rtl w:val="0"/>
              </w:rPr>
              <w:t xml:space="preserve">1.4. Data completării</w:t>
            </w:r>
            <w:r>
              <w:rPr>
                <w:rtl w:val="0"/>
              </w:rPr>
            </w:r>
          </w:p>
        </w:tc>
        <w:tc>
          <w:tcPr/>
          <w:p w:rsidR="00000000" w:rsidDel="00000000" w:rsidP="00000000" w:rsidRDefault="00000000" w:rsidRPr="00000000" w14:paraId="00000012">
            <w:pPr>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4">
                  <w:pPr>
                    <w:jc w:val="center"/>
                    <w:rPr/>
                  </w:pPr>
                  <w:r>
                    <w:rPr>
                      <w:sz w:val="22"/>
                      <w:szCs w:val="22"/>
                      <w:rtl w:val="0"/>
                    </w:rPr>
                    <w:t xml:space="preserve">2</w:t>
                  </w:r>
                  <w:r>
                    <w:rPr>
                      <w:rtl w:val="0"/>
                    </w:rPr>
                  </w:r>
                </w:p>
              </w:tc>
              <w:tc>
                <w:tcPr/>
                <w:p w:rsidR="00000000" w:rsidDel="00000000" w:rsidP="00000000" w:rsidRDefault="00000000" w:rsidRPr="00000000" w14:paraId="00000015">
                  <w:pPr>
                    <w:jc w:val="center"/>
                    <w:rPr/>
                  </w:pPr>
                  <w:r>
                    <w:rPr>
                      <w:sz w:val="22"/>
                      <w:szCs w:val="22"/>
                      <w:rtl w:val="0"/>
                    </w:rPr>
                    <w:t xml:space="preserve">0</w:t>
                  </w:r>
                  <w:r>
                    <w:rPr>
                      <w:rtl w:val="0"/>
                    </w:rPr>
                  </w:r>
                </w:p>
              </w:tc>
              <w:tc>
                <w:tcPr/>
                <w:p w:rsidR="00000000" w:rsidDel="00000000" w:rsidP="00000000" w:rsidRDefault="00000000" w:rsidRPr="00000000" w14:paraId="00000016">
                  <w:pPr>
                    <w:jc w:val="center"/>
                    <w:rPr/>
                  </w:pPr>
                  <w:r>
                    <w:rPr>
                      <w:sz w:val="22"/>
                      <w:szCs w:val="22"/>
                      <w:rtl w:val="0"/>
                    </w:rPr>
                    <w:t xml:space="preserve">2</w:t>
                  </w:r>
                  <w:r>
                    <w:rPr>
                      <w:rtl w:val="0"/>
                    </w:rPr>
                  </w:r>
                </w:p>
              </w:tc>
              <w:tc>
                <w:tcPr/>
                <w:p w:rsidR="00000000" w:rsidDel="00000000" w:rsidP="00000000" w:rsidRDefault="00000000" w:rsidRPr="00000000" w14:paraId="00000017">
                  <w:pPr>
                    <w:jc w:val="center"/>
                    <w:rPr/>
                  </w:pPr>
                  <w:r>
                    <w:rPr>
                      <w:sz w:val="22"/>
                      <w:szCs w:val="22"/>
                      <w:rtl w:val="0"/>
                    </w:rPr>
                    <w:t xml:space="preserve">6</w:t>
                  </w:r>
                  <w:r>
                    <w:rPr>
                      <w:rtl w:val="0"/>
                    </w:rPr>
                  </w:r>
                </w:p>
              </w:tc>
              <w:tc>
                <w:tcPr/>
                <w:p w:rsidR="00000000" w:rsidDel="00000000" w:rsidP="00000000" w:rsidRDefault="00000000" w:rsidRPr="00000000" w14:paraId="00000018">
                  <w:pPr>
                    <w:jc w:val="center"/>
                    <w:rPr/>
                  </w:pPr>
                  <w:r>
                    <w:rPr>
                      <w:sz w:val="22"/>
                      <w:szCs w:val="22"/>
                      <w:rtl w:val="0"/>
                    </w:rPr>
                    <w:t xml:space="preserve">0</w:t>
                  </w:r>
                  <w:r>
                    <w:rPr>
                      <w:rtl w:val="0"/>
                    </w:rPr>
                  </w:r>
                </w:p>
              </w:tc>
              <w:tc>
                <w:tcPr/>
                <w:p w:rsidR="00000000" w:rsidDel="00000000" w:rsidP="00000000" w:rsidRDefault="00000000" w:rsidRPr="00000000" w14:paraId="00000019">
                  <w:pPr>
                    <w:jc w:val="center"/>
                    <w:rPr/>
                  </w:pPr>
                  <w:r>
                    <w:rPr>
                      <w:sz w:val="22"/>
                      <w:szCs w:val="22"/>
                      <w:rtl w:val="0"/>
                    </w:rPr>
                    <w:t xml:space="preserve">5</w:t>
                  </w:r>
                  <w:r>
                    <w:rPr>
                      <w:rtl w:val="0"/>
                    </w:rPr>
                  </w:r>
                </w:p>
              </w:tc>
            </w:tr>
            <w:tr>
              <w:trPr>
                <w:cantSplit w:val="0"/>
                <w:tblHeader w:val="0"/>
              </w:trPr>
              <w:tc>
                <w:tcPr/>
                <w:p w:rsidR="00000000" w:rsidDel="00000000" w:rsidP="00000000" w:rsidRDefault="00000000" w:rsidRPr="00000000" w14:paraId="0000001A">
                  <w:pPr>
                    <w:jc w:val="center"/>
                    <w:rPr/>
                  </w:pPr>
                  <w:r>
                    <w:rPr>
                      <w:sz w:val="22"/>
                      <w:szCs w:val="22"/>
                      <w:rtl w:val="0"/>
                    </w:rPr>
                    <w:t xml:space="preserve">Y</w:t>
                  </w:r>
                  <w:r>
                    <w:rPr>
                      <w:rtl w:val="0"/>
                    </w:rPr>
                  </w:r>
                </w:p>
              </w:tc>
              <w:tc>
                <w:tcPr/>
                <w:p w:rsidR="00000000" w:rsidDel="00000000" w:rsidP="00000000" w:rsidRDefault="00000000" w:rsidRPr="00000000" w14:paraId="0000001B">
                  <w:pPr>
                    <w:jc w:val="center"/>
                    <w:rPr/>
                  </w:pPr>
                  <w:r>
                    <w:rPr>
                      <w:sz w:val="22"/>
                      <w:szCs w:val="22"/>
                      <w:rtl w:val="0"/>
                    </w:rPr>
                    <w:t xml:space="preserve">Y</w:t>
                  </w:r>
                  <w:r>
                    <w:rPr>
                      <w:rtl w:val="0"/>
                    </w:rPr>
                  </w:r>
                </w:p>
              </w:tc>
              <w:tc>
                <w:tcPr/>
                <w:p w:rsidR="00000000" w:rsidDel="00000000" w:rsidP="00000000" w:rsidRDefault="00000000" w:rsidRPr="00000000" w14:paraId="0000001C">
                  <w:pPr>
                    <w:jc w:val="center"/>
                    <w:rPr/>
                  </w:pPr>
                  <w:r>
                    <w:rPr>
                      <w:sz w:val="22"/>
                      <w:szCs w:val="22"/>
                      <w:rtl w:val="0"/>
                    </w:rPr>
                    <w:t xml:space="preserve">Y</w:t>
                  </w:r>
                  <w:r>
                    <w:rPr>
                      <w:rtl w:val="0"/>
                    </w:rPr>
                  </w:r>
                </w:p>
              </w:tc>
              <w:tc>
                <w:tcPr/>
                <w:p w:rsidR="00000000" w:rsidDel="00000000" w:rsidP="00000000" w:rsidRDefault="00000000" w:rsidRPr="00000000" w14:paraId="0000001D">
                  <w:pPr>
                    <w:jc w:val="center"/>
                    <w:rPr/>
                  </w:pPr>
                  <w:r>
                    <w:rPr>
                      <w:sz w:val="22"/>
                      <w:szCs w:val="22"/>
                      <w:rtl w:val="0"/>
                    </w:rPr>
                    <w:t xml:space="preserve">Y</w:t>
                  </w:r>
                  <w:r>
                    <w:rPr>
                      <w:rtl w:val="0"/>
                    </w:rPr>
                  </w:r>
                </w:p>
              </w:tc>
              <w:tc>
                <w:tcPr/>
                <w:p w:rsidR="00000000" w:rsidDel="00000000" w:rsidP="00000000" w:rsidRDefault="00000000" w:rsidRPr="00000000" w14:paraId="0000001E">
                  <w:pPr>
                    <w:jc w:val="center"/>
                    <w:rPr/>
                  </w:pPr>
                  <w:r>
                    <w:rPr>
                      <w:sz w:val="22"/>
                      <w:szCs w:val="22"/>
                      <w:rtl w:val="0"/>
                    </w:rPr>
                    <w:t xml:space="preserve">M</w:t>
                  </w:r>
                  <w:r>
                    <w:rPr>
                      <w:rtl w:val="0"/>
                    </w:rPr>
                  </w:r>
                </w:p>
              </w:tc>
              <w:tc>
                <w:tcPr/>
                <w:p w:rsidR="00000000" w:rsidDel="00000000" w:rsidP="00000000" w:rsidRDefault="00000000" w:rsidRPr="00000000" w14:paraId="0000001F">
                  <w:pPr>
                    <w:jc w:val="center"/>
                    <w:rPr/>
                  </w:pPr>
                  <w:r>
                    <w:rPr>
                      <w:sz w:val="22"/>
                      <w:szCs w:val="22"/>
                      <w:rtl w:val="0"/>
                    </w:rPr>
                    <w:t xml:space="preserve">M</w:t>
                  </w:r>
                  <w:r>
                    <w:rPr>
                      <w:rtl w:val="0"/>
                    </w:rPr>
                  </w:r>
                </w:p>
              </w:tc>
            </w:tr>
          </w:tbl>
          <w:p w:rsidR="00000000" w:rsidDel="00000000" w:rsidP="00000000" w:rsidRDefault="00000000" w:rsidRPr="00000000" w14:paraId="00000020">
            <w:pPr>
              <w:rPr/>
            </w:pPr>
            <w:r>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2">
                  <w:pPr>
                    <w:jc w:val="center"/>
                    <w:rPr/>
                  </w:pPr>
                  <w:r>
                    <w:rPr>
                      <w:rtl w:val="0"/>
                    </w:rPr>
                  </w:r>
                </w:p>
              </w:tc>
              <w:tc>
                <w:tcPr/>
                <w:p w:rsidR="00000000" w:rsidDel="00000000" w:rsidP="00000000" w:rsidRDefault="00000000" w:rsidRPr="00000000" w14:paraId="00000023">
                  <w:pPr>
                    <w:jc w:val="center"/>
                    <w:rPr/>
                  </w:pPr>
                  <w:r>
                    <w:rPr>
                      <w:rtl w:val="0"/>
                    </w:rPr>
                  </w:r>
                </w:p>
              </w:tc>
              <w:tc>
                <w:tcPr/>
                <w:p w:rsidR="00000000" w:rsidDel="00000000" w:rsidP="00000000" w:rsidRDefault="00000000" w:rsidRPr="00000000" w14:paraId="00000024">
                  <w:pPr>
                    <w:jc w:val="center"/>
                    <w:rPr/>
                  </w:pPr>
                  <w:r>
                    <w:rPr>
                      <w:rtl w:val="0"/>
                    </w:rPr>
                  </w:r>
                </w:p>
              </w:tc>
              <w:tc>
                <w:tcPr/>
                <w:p w:rsidR="00000000" w:rsidDel="00000000" w:rsidP="00000000" w:rsidRDefault="00000000" w:rsidRPr="00000000" w14:paraId="00000025">
                  <w:pPr>
                    <w:jc w:val="center"/>
                    <w:rPr/>
                  </w:pPr>
                  <w:r>
                    <w:rPr>
                      <w:rtl w:val="0"/>
                    </w:rPr>
                  </w:r>
                </w:p>
              </w:tc>
              <w:tc>
                <w:tcPr/>
                <w:p w:rsidR="00000000" w:rsidDel="00000000" w:rsidP="00000000" w:rsidRDefault="00000000" w:rsidRPr="00000000" w14:paraId="00000026">
                  <w:pPr>
                    <w:jc w:val="center"/>
                    <w:rPr/>
                  </w:pPr>
                  <w:r>
                    <w:rPr>
                      <w:rtl w:val="0"/>
                    </w:rPr>
                  </w:r>
                </w:p>
              </w:tc>
              <w:tc>
                <w:tcPr/>
                <w:p w:rsidR="00000000" w:rsidDel="00000000" w:rsidP="00000000" w:rsidRDefault="00000000" w:rsidRPr="00000000" w14:paraId="00000027">
                  <w:pPr>
                    <w:jc w:val="center"/>
                    <w:rPr/>
                  </w:pPr>
                  <w:r>
                    <w:rPr>
                      <w:rtl w:val="0"/>
                    </w:rPr>
                  </w:r>
                </w:p>
              </w:tc>
            </w:tr>
            <w:tr>
              <w:trPr>
                <w:cantSplit w:val="0"/>
                <w:tblHeader w:val="0"/>
              </w:trPr>
              <w:tc>
                <w:tcPr/>
                <w:p w:rsidR="00000000" w:rsidDel="00000000" w:rsidP="00000000" w:rsidRDefault="00000000" w:rsidRPr="00000000" w14:paraId="00000028">
                  <w:pPr>
                    <w:jc w:val="center"/>
                    <w:rPr/>
                  </w:pPr>
                  <w:r>
                    <w:rPr>
                      <w:sz w:val="22"/>
                      <w:szCs w:val="22"/>
                      <w:rtl w:val="0"/>
                    </w:rPr>
                    <w:t xml:space="preserve">Y</w:t>
                  </w:r>
                  <w:r>
                    <w:rPr>
                      <w:rtl w:val="0"/>
                    </w:rPr>
                  </w:r>
                </w:p>
              </w:tc>
              <w:tc>
                <w:tcPr/>
                <w:p w:rsidR="00000000" w:rsidDel="00000000" w:rsidP="00000000" w:rsidRDefault="00000000" w:rsidRPr="00000000" w14:paraId="00000029">
                  <w:pPr>
                    <w:jc w:val="center"/>
                    <w:rPr/>
                  </w:pPr>
                  <w:r>
                    <w:rPr>
                      <w:sz w:val="22"/>
                      <w:szCs w:val="22"/>
                      <w:rtl w:val="0"/>
                    </w:rPr>
                    <w:t xml:space="preserve">Y</w:t>
                  </w:r>
                  <w:r>
                    <w:rPr>
                      <w:rtl w:val="0"/>
                    </w:rPr>
                  </w:r>
                </w:p>
              </w:tc>
              <w:tc>
                <w:tcPr/>
                <w:p w:rsidR="00000000" w:rsidDel="00000000" w:rsidP="00000000" w:rsidRDefault="00000000" w:rsidRPr="00000000" w14:paraId="0000002A">
                  <w:pPr>
                    <w:jc w:val="center"/>
                    <w:rPr/>
                  </w:pPr>
                  <w:r>
                    <w:rPr>
                      <w:sz w:val="22"/>
                      <w:szCs w:val="22"/>
                      <w:rtl w:val="0"/>
                    </w:rPr>
                    <w:t xml:space="preserve">Y</w:t>
                  </w:r>
                  <w:r>
                    <w:rPr>
                      <w:rtl w:val="0"/>
                    </w:rPr>
                  </w:r>
                </w:p>
              </w:tc>
              <w:tc>
                <w:tcPr/>
                <w:p w:rsidR="00000000" w:rsidDel="00000000" w:rsidP="00000000" w:rsidRDefault="00000000" w:rsidRPr="00000000" w14:paraId="0000002B">
                  <w:pPr>
                    <w:jc w:val="center"/>
                    <w:rPr/>
                  </w:pPr>
                  <w:r>
                    <w:rPr>
                      <w:sz w:val="22"/>
                      <w:szCs w:val="22"/>
                      <w:rtl w:val="0"/>
                    </w:rPr>
                    <w:t xml:space="preserve">Y</w:t>
                  </w:r>
                  <w:r>
                    <w:rPr>
                      <w:rtl w:val="0"/>
                    </w:rPr>
                  </w:r>
                </w:p>
              </w:tc>
              <w:tc>
                <w:tcPr/>
                <w:p w:rsidR="00000000" w:rsidDel="00000000" w:rsidP="00000000" w:rsidRDefault="00000000" w:rsidRPr="00000000" w14:paraId="0000002C">
                  <w:pPr>
                    <w:jc w:val="center"/>
                    <w:rPr/>
                  </w:pPr>
                  <w:r>
                    <w:rPr>
                      <w:sz w:val="22"/>
                      <w:szCs w:val="22"/>
                      <w:rtl w:val="0"/>
                    </w:rPr>
                    <w:t xml:space="preserve">M</w:t>
                  </w:r>
                  <w:r>
                    <w:rPr>
                      <w:rtl w:val="0"/>
                    </w:rPr>
                  </w:r>
                </w:p>
              </w:tc>
              <w:tc>
                <w:tcPr/>
                <w:p w:rsidR="00000000" w:rsidDel="00000000" w:rsidP="00000000" w:rsidRDefault="00000000" w:rsidRPr="00000000" w14:paraId="0000002D">
                  <w:pPr>
                    <w:jc w:val="center"/>
                    <w:rPr/>
                  </w:pPr>
                  <w:r>
                    <w:rPr>
                      <w:sz w:val="22"/>
                      <w:szCs w:val="22"/>
                      <w:rtl w:val="0"/>
                    </w:rPr>
                    <w:t xml:space="preserve">M</w:t>
                  </w:r>
                  <w:r>
                    <w:rPr>
                      <w:rtl w:val="0"/>
                    </w:rPr>
                  </w:r>
                </w:p>
              </w:tc>
            </w:tr>
          </w:tbl>
          <w:p w:rsidR="00000000" w:rsidDel="00000000" w:rsidP="00000000" w:rsidRDefault="00000000" w:rsidRPr="00000000" w14:paraId="0000002E">
            <w:pPr>
              <w:rPr/>
            </w:pPr>
            <w:r>
              <w:rPr>
                <w:rtl w:val="0"/>
              </w:rPr>
            </w:r>
          </w:p>
        </w:tc>
      </w:tr>
    </w:tbl>
    <w:p w:rsidR="00000000" w:rsidDel="00000000" w:rsidP="00000000" w:rsidRDefault="00000000" w:rsidRPr="00000000" w14:paraId="0000002F">
      <w:pPr>
        <w:rPr/>
      </w:pPr>
      <w:r>
        <w:rPr>
          <w:rtl w:val="0"/>
        </w:rPr>
      </w:r>
    </w:p>
    <w:p w:rsidR="00000000" w:rsidDel="00000000" w:rsidP="00000000" w:rsidRDefault="00000000" w:rsidRPr="00000000" w14:paraId="00000030">
      <w:pPr>
        <w:rPr/>
      </w:pPr>
      <w:r>
        <w:rPr>
          <w:b w:val="1"/>
          <w:bCs w:val="1"/>
          <w:sz w:val="22"/>
          <w:szCs w:val="22"/>
          <w:rtl w:val="0"/>
        </w:rPr>
        <w:t xml:space="preserve">1.6. Responsabili - Nume/Organizație</w:t>
      </w:r>
      <w:r>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32">
      <w:pPr>
        <w:rPr/>
      </w:pPr>
      <w:r>
        <w:rPr>
          <w:rtl w:val="0"/>
        </w:rPr>
      </w:r>
    </w:p>
    <w:p w:rsidR="00000000" w:rsidDel="00000000" w:rsidP="00000000" w:rsidRDefault="00000000" w:rsidRPr="00000000" w14:paraId="00000033">
      <w:pPr>
        <w:rPr/>
      </w:pPr>
      <w:r>
        <w:rPr>
          <w:b w:val="1"/>
          <w:bCs w:val="1"/>
          <w:sz w:val="22"/>
          <w:szCs w:val="22"/>
          <w:rtl w:val="0"/>
        </w:rPr>
        <w:t xml:space="preserve">1.7. Datele indicării și desemnării ca ZPB</w:t>
      </w:r>
      <w:r>
        <w:rPr>
          <w:rtl w:val="0"/>
        </w:rPr>
      </w:r>
    </w:p>
    <w:tbl>
      <w:tblPr>
        <w:tblStyle w:val="Table4"/>
        <w:tblW w:w="9000.0" w:type="dxa"/>
        <w:jc w:val="left"/>
        <w:tblLayout w:type="fixed"/>
        <w:tblLook w:val="0400"/>
      </w:tblPr>
      <w:tblGrid>
        <w:gridCol w:w="4466"/>
        <w:gridCol w:w="4534"/>
      </w:tblGrid>
      <w:tr>
        <w:trPr>
          <w:cantSplit w:val="0"/>
          <w:tblHeader w:val="0"/>
        </w:trPr>
        <w:tc>
          <w:tcPr/>
          <w:p w:rsidR="00000000" w:rsidDel="00000000" w:rsidP="00000000" w:rsidRDefault="00000000" w:rsidRPr="00000000" w14:paraId="00000034">
            <w:pPr>
              <w:rPr/>
            </w:pPr>
            <w:r>
              <w:rPr>
                <w:sz w:val="22"/>
                <w:szCs w:val="22"/>
                <w:rtl w:val="0"/>
              </w:rPr>
              <w:t xml:space="preserve">Data desemnării ca ZPB:</w:t>
            </w:r>
            <w:r>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6">
                  <w:pPr>
                    <w:jc w:val="center"/>
                    <w:rPr/>
                  </w:pPr>
                  <w:r>
                    <w:rPr>
                      <w:sz w:val="22"/>
                      <w:szCs w:val="22"/>
                      <w:rtl w:val="0"/>
                    </w:rPr>
                    <w:t xml:space="preserve"> </w:t>
                  </w:r>
                  <w:r>
                    <w:rPr>
                      <w:rtl w:val="0"/>
                    </w:rPr>
                  </w:r>
                </w:p>
              </w:tc>
              <w:tc>
                <w:tcPr/>
                <w:p w:rsidR="00000000" w:rsidDel="00000000" w:rsidP="00000000" w:rsidRDefault="00000000" w:rsidRPr="00000000" w14:paraId="00000037">
                  <w:pPr>
                    <w:jc w:val="center"/>
                    <w:rPr/>
                  </w:pPr>
                  <w:r>
                    <w:rPr>
                      <w:sz w:val="22"/>
                      <w:szCs w:val="22"/>
                      <w:rtl w:val="0"/>
                    </w:rPr>
                    <w:t xml:space="preserve"> </w:t>
                  </w:r>
                  <w:r>
                    <w:rPr>
                      <w:rtl w:val="0"/>
                    </w:rPr>
                  </w:r>
                </w:p>
              </w:tc>
              <w:tc>
                <w:tcPr/>
                <w:p w:rsidR="00000000" w:rsidDel="00000000" w:rsidP="00000000" w:rsidRDefault="00000000" w:rsidRPr="00000000" w14:paraId="00000038">
                  <w:pPr>
                    <w:jc w:val="center"/>
                    <w:rPr/>
                  </w:pPr>
                  <w:r>
                    <w:rPr>
                      <w:sz w:val="22"/>
                      <w:szCs w:val="22"/>
                      <w:rtl w:val="0"/>
                    </w:rPr>
                    <w:t xml:space="preserve"> </w:t>
                  </w:r>
                  <w:r>
                    <w:rPr>
                      <w:rtl w:val="0"/>
                    </w:rPr>
                  </w:r>
                </w:p>
              </w:tc>
              <w:tc>
                <w:tcPr/>
                <w:p w:rsidR="00000000" w:rsidDel="00000000" w:rsidP="00000000" w:rsidRDefault="00000000" w:rsidRPr="00000000" w14:paraId="00000039">
                  <w:pPr>
                    <w:jc w:val="center"/>
                    <w:rPr/>
                  </w:pPr>
                  <w:r>
                    <w:rPr>
                      <w:sz w:val="22"/>
                      <w:szCs w:val="22"/>
                      <w:rtl w:val="0"/>
                    </w:rPr>
                    <w:t xml:space="preserve"> </w:t>
                  </w:r>
                  <w:r>
                    <w:rPr>
                      <w:rtl w:val="0"/>
                    </w:rPr>
                  </w:r>
                </w:p>
              </w:tc>
              <w:tc>
                <w:tcPr/>
                <w:p w:rsidR="00000000" w:rsidDel="00000000" w:rsidP="00000000" w:rsidRDefault="00000000" w:rsidRPr="00000000" w14:paraId="0000003A">
                  <w:pPr>
                    <w:jc w:val="center"/>
                    <w:rPr/>
                  </w:pPr>
                  <w:r>
                    <w:rPr>
                      <w:sz w:val="22"/>
                      <w:szCs w:val="22"/>
                      <w:rtl w:val="0"/>
                    </w:rPr>
                    <w:t xml:space="preserve"> </w:t>
                  </w:r>
                  <w:r>
                    <w:rPr>
                      <w:rtl w:val="0"/>
                    </w:rPr>
                  </w:r>
                </w:p>
              </w:tc>
              <w:tc>
                <w:tcPr/>
                <w:p w:rsidR="00000000" w:rsidDel="00000000" w:rsidP="00000000" w:rsidRDefault="00000000" w:rsidRPr="00000000" w14:paraId="0000003B">
                  <w:pPr>
                    <w:jc w:val="center"/>
                    <w:rPr/>
                  </w:pPr>
                  <w:r>
                    <w:rPr>
                      <w:sz w:val="22"/>
                      <w:szCs w:val="22"/>
                      <w:rtl w:val="0"/>
                    </w:rPr>
                    <w:t xml:space="preserve"> </w:t>
                  </w:r>
                  <w:r>
                    <w:rPr>
                      <w:rtl w:val="0"/>
                    </w:rPr>
                  </w:r>
                </w:p>
              </w:tc>
            </w:tr>
            <w:tr>
              <w:trPr>
                <w:cantSplit w:val="0"/>
                <w:tblHeader w:val="0"/>
              </w:trPr>
              <w:tc>
                <w:tcPr/>
                <w:p w:rsidR="00000000" w:rsidDel="00000000" w:rsidP="00000000" w:rsidRDefault="00000000" w:rsidRPr="00000000" w14:paraId="0000003C">
                  <w:pPr>
                    <w:jc w:val="center"/>
                    <w:rPr/>
                  </w:pPr>
                  <w:r>
                    <w:rPr>
                      <w:sz w:val="22"/>
                      <w:szCs w:val="22"/>
                      <w:rtl w:val="0"/>
                    </w:rPr>
                    <w:t xml:space="preserve">Y</w:t>
                  </w:r>
                  <w:r>
                    <w:rPr>
                      <w:rtl w:val="0"/>
                    </w:rPr>
                  </w:r>
                </w:p>
              </w:tc>
              <w:tc>
                <w:tcPr/>
                <w:p w:rsidR="00000000" w:rsidDel="00000000" w:rsidP="00000000" w:rsidRDefault="00000000" w:rsidRPr="00000000" w14:paraId="0000003D">
                  <w:pPr>
                    <w:jc w:val="center"/>
                    <w:rPr/>
                  </w:pPr>
                  <w:r>
                    <w:rPr>
                      <w:sz w:val="22"/>
                      <w:szCs w:val="22"/>
                      <w:rtl w:val="0"/>
                    </w:rPr>
                    <w:t xml:space="preserve">Y</w:t>
                  </w:r>
                  <w:r>
                    <w:rPr>
                      <w:rtl w:val="0"/>
                    </w:rPr>
                  </w:r>
                </w:p>
              </w:tc>
              <w:tc>
                <w:tcPr/>
                <w:p w:rsidR="00000000" w:rsidDel="00000000" w:rsidP="00000000" w:rsidRDefault="00000000" w:rsidRPr="00000000" w14:paraId="0000003E">
                  <w:pPr>
                    <w:jc w:val="center"/>
                    <w:rPr/>
                  </w:pPr>
                  <w:r>
                    <w:rPr>
                      <w:sz w:val="22"/>
                      <w:szCs w:val="22"/>
                      <w:rtl w:val="0"/>
                    </w:rPr>
                    <w:t xml:space="preserve">Y</w:t>
                  </w:r>
                  <w:r>
                    <w:rPr>
                      <w:rtl w:val="0"/>
                    </w:rPr>
                  </w:r>
                </w:p>
              </w:tc>
              <w:tc>
                <w:tcPr/>
                <w:p w:rsidR="00000000" w:rsidDel="00000000" w:rsidP="00000000" w:rsidRDefault="00000000" w:rsidRPr="00000000" w14:paraId="0000003F">
                  <w:pPr>
                    <w:jc w:val="center"/>
                    <w:rPr/>
                  </w:pPr>
                  <w:r>
                    <w:rPr>
                      <w:sz w:val="22"/>
                      <w:szCs w:val="22"/>
                      <w:rtl w:val="0"/>
                    </w:rPr>
                    <w:t xml:space="preserve">Y</w:t>
                  </w:r>
                  <w:r>
                    <w:rPr>
                      <w:rtl w:val="0"/>
                    </w:rPr>
                  </w:r>
                </w:p>
              </w:tc>
              <w:tc>
                <w:tcPr/>
                <w:p w:rsidR="00000000" w:rsidDel="00000000" w:rsidP="00000000" w:rsidRDefault="00000000" w:rsidRPr="00000000" w14:paraId="00000040">
                  <w:pPr>
                    <w:jc w:val="center"/>
                    <w:rPr/>
                  </w:pPr>
                  <w:r>
                    <w:rPr>
                      <w:sz w:val="22"/>
                      <w:szCs w:val="22"/>
                      <w:rtl w:val="0"/>
                    </w:rPr>
                    <w:t xml:space="preserve">M</w:t>
                  </w:r>
                  <w:r>
                    <w:rPr>
                      <w:rtl w:val="0"/>
                    </w:rPr>
                  </w:r>
                </w:p>
              </w:tc>
              <w:tc>
                <w:tcPr/>
                <w:p w:rsidR="00000000" w:rsidDel="00000000" w:rsidP="00000000" w:rsidRDefault="00000000" w:rsidRPr="00000000" w14:paraId="00000041">
                  <w:pPr>
                    <w:jc w:val="center"/>
                    <w:rPr/>
                  </w:pPr>
                  <w:r>
                    <w:rPr>
                      <w:sz w:val="22"/>
                      <w:szCs w:val="22"/>
                      <w:rtl w:val="0"/>
                    </w:rPr>
                    <w:t xml:space="preserve">M</w:t>
                  </w:r>
                  <w:r>
                    <w:rPr>
                      <w:rtl w:val="0"/>
                    </w:rPr>
                  </w:r>
                </w:p>
              </w:tc>
            </w:tr>
          </w:tbl>
          <w:p w:rsidR="00000000" w:rsidDel="00000000" w:rsidP="00000000" w:rsidRDefault="00000000" w:rsidRPr="00000000" w14:paraId="00000042">
            <w:pPr>
              <w:rPr/>
            </w:pPr>
            <w:r>
              <w:rPr>
                <w:rtl w:val="0"/>
              </w:rPr>
            </w:r>
          </w:p>
        </w:tc>
      </w:tr>
    </w:tbl>
    <w:p w:rsidR="00000000" w:rsidDel="00000000" w:rsidP="00000000" w:rsidRDefault="00000000" w:rsidRPr="00000000" w14:paraId="00000043">
      <w:pPr>
        <w:rPr/>
      </w:pPr>
      <w:r>
        <w:rPr>
          <w:rtl w:val="0"/>
        </w:rPr>
      </w:r>
    </w:p>
    <w:p w:rsidR="00000000" w:rsidDel="00000000" w:rsidP="00000000" w:rsidRDefault="00000000" w:rsidRPr="00000000" w14:paraId="00000044">
      <w:pPr>
        <w:rPr/>
      </w:pPr>
      <w:r>
        <w:rPr>
          <w:sz w:val="22"/>
          <w:szCs w:val="22"/>
          <w:rtl w:val="0"/>
        </w:rPr>
        <w:t xml:space="preserve">Referința legală națională a desemnării ZPB:</w:t>
      </w:r>
      <w:r>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rtl w:val="0"/>
        </w:rPr>
      </w:r>
    </w:p>
    <w:p w:rsidR="00000000" w:rsidDel="00000000" w:rsidP="00000000" w:rsidRDefault="00000000" w:rsidRPr="00000000" w14:paraId="00000046">
      <w:pPr>
        <w:jc w:val="center"/>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7">
      <w:pPr>
        <w:rPr/>
      </w:pPr>
      <w:r>
        <w:rPr>
          <w:rtl w:val="0"/>
        </w:rPr>
      </w:r>
    </w:p>
    <w:p w:rsidR="00000000" w:rsidDel="00000000" w:rsidP="00000000" w:rsidRDefault="00000000" w:rsidRPr="00000000" w14:paraId="00000048">
      <w:pPr>
        <w:rPr/>
      </w:pPr>
      <w:r>
        <w:rPr>
          <w:b w:val="1"/>
          <w:bCs w:val="1"/>
          <w:sz w:val="22"/>
          <w:szCs w:val="22"/>
          <w:rtl w:val="0"/>
        </w:rPr>
        <w:t xml:space="preserve">2.1. Suprafața totală a ZPB (ha)</w:t>
      </w:r>
      <w:r>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0,89</w:t>
      </w:r>
      <w:r>
        <w:rPr>
          <w:rtl w:val="0"/>
        </w:rPr>
      </w:r>
    </w:p>
    <w:p w:rsidR="00000000" w:rsidDel="00000000" w:rsidP="00000000" w:rsidRDefault="00000000" w:rsidRPr="00000000" w14:paraId="0000004A">
      <w:pPr>
        <w:rPr/>
      </w:pPr>
      <w:r>
        <w:rPr>
          <w:rtl w:val="0"/>
        </w:rPr>
      </w:r>
    </w:p>
    <w:p w:rsidR="00000000" w:rsidDel="00000000" w:rsidP="00000000" w:rsidRDefault="00000000" w:rsidRPr="00000000" w14:paraId="0000004B">
      <w:pPr>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52,66%</w:t>
      </w:r>
      <w:r>
        <w:rPr>
          <w:rtl w:val="0"/>
        </w:rPr>
      </w:r>
    </w:p>
    <w:p w:rsidR="00000000" w:rsidDel="00000000" w:rsidP="00000000" w:rsidRDefault="00000000" w:rsidRPr="00000000" w14:paraId="0000004D">
      <w:pPr>
        <w:rPr/>
      </w:pPr>
      <w:r>
        <w:rPr>
          <w:rtl w:val="0"/>
        </w:rPr>
      </w:r>
    </w:p>
    <w:p w:rsidR="00000000" w:rsidDel="00000000" w:rsidP="00000000" w:rsidRDefault="00000000" w:rsidRPr="00000000" w14:paraId="0000004E">
      <w:pPr>
        <w:rPr/>
      </w:pPr>
      <w:r>
        <w:rPr>
          <w:b w:val="1"/>
          <w:bCs w:val="1"/>
          <w:sz w:val="22"/>
          <w:szCs w:val="22"/>
          <w:rtl w:val="0"/>
        </w:rPr>
        <w:t xml:space="preserve">2.3. Încadrarea ZPB în regiunile administrative</w:t>
      </w:r>
      <w:r>
        <w:rPr>
          <w:rtl w:val="0"/>
        </w:rPr>
      </w:r>
    </w:p>
    <w:tbl>
      <w:tblPr>
        <w:tblStyle w:val="Table6"/>
        <w:tblW w:w="9000.0" w:type="dxa"/>
        <w:jc w:val="left"/>
        <w:tblLayout w:type="fixed"/>
        <w:tblLook w:val="0400"/>
      </w:tblPr>
      <w:tblGrid>
        <w:gridCol w:w="3164"/>
        <w:gridCol w:w="445"/>
        <w:gridCol w:w="5391"/>
      </w:tblGrid>
      <w:tr>
        <w:trPr>
          <w:cantSplit w:val="0"/>
          <w:tblHeader w:val="0"/>
        </w:trPr>
        <w:tc>
          <w:tcPr/>
          <w:p w:rsidR="00000000" w:rsidDel="00000000" w:rsidP="00000000" w:rsidRDefault="00000000" w:rsidRPr="00000000" w14:paraId="0000004F">
            <w:pPr>
              <w:rPr/>
            </w:pPr>
            <w:r>
              <w:rPr>
                <w:sz w:val="22"/>
                <w:szCs w:val="22"/>
                <w:rtl w:val="0"/>
              </w:rPr>
              <w:t xml:space="preserve">NUTS</w:t>
            </w:r>
            <w:r>
              <w:rPr>
                <w:rtl w:val="0"/>
              </w:rPr>
            </w:r>
          </w:p>
        </w:tc>
        <w:tc>
          <w:tcPr/>
          <w:p w:rsidR="00000000" w:rsidDel="00000000" w:rsidP="00000000" w:rsidRDefault="00000000" w:rsidRPr="00000000" w14:paraId="00000050">
            <w:pPr>
              <w:rPr/>
            </w:pPr>
            <w:r>
              <w:rPr>
                <w:sz w:val="22"/>
                <w:szCs w:val="22"/>
                <w:rtl w:val="0"/>
              </w:rPr>
              <w:t xml:space="preserve"> </w:t>
            </w:r>
            <w:r>
              <w:rPr>
                <w:rtl w:val="0"/>
              </w:rPr>
            </w:r>
          </w:p>
        </w:tc>
        <w:tc>
          <w:tcPr/>
          <w:p w:rsidR="00000000" w:rsidDel="00000000" w:rsidP="00000000" w:rsidRDefault="00000000" w:rsidRPr="00000000" w14:paraId="00000051">
            <w:pPr>
              <w:rPr/>
            </w:pPr>
            <w:r>
              <w:rPr>
                <w:sz w:val="22"/>
                <w:szCs w:val="22"/>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Pr>
                <w:sz w:val="22"/>
                <w:szCs w:val="22"/>
                <w:rtl w:val="0"/>
              </w:rPr>
              <w:t xml:space="preserve">RO11</w:t>
            </w:r>
            <w:r>
              <w:rPr>
                <w:rtl w:val="0"/>
              </w:rPr>
            </w:r>
          </w:p>
        </w:tc>
        <w:tc>
          <w:tcPr/>
          <w:p w:rsidR="00000000" w:rsidDel="00000000" w:rsidP="00000000" w:rsidRDefault="00000000" w:rsidRPr="00000000" w14:paraId="00000053">
            <w:pPr>
              <w:rPr/>
            </w:pPr>
            <w:r>
              <w:rPr>
                <w:sz w:val="22"/>
                <w:szCs w:val="22"/>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Pr>
                <w:sz w:val="22"/>
                <w:szCs w:val="22"/>
                <w:rtl w:val="0"/>
              </w:rPr>
              <w:t xml:space="preserve">Nord-Vest</w:t>
            </w:r>
            <w:r>
              <w:rPr>
                <w:rtl w:val="0"/>
              </w:rPr>
            </w:r>
          </w:p>
        </w:tc>
      </w:tr>
    </w:tbl>
    <w:p w:rsidR="00000000" w:rsidDel="00000000" w:rsidP="00000000" w:rsidRDefault="00000000" w:rsidRPr="00000000" w14:paraId="00000055">
      <w:pPr>
        <w:rPr/>
      </w:pPr>
      <w:r>
        <w:rPr>
          <w:rtl w:val="0"/>
        </w:rPr>
      </w:r>
    </w:p>
    <w:p w:rsidR="00000000" w:rsidDel="00000000" w:rsidP="00000000" w:rsidRDefault="00000000" w:rsidRPr="00000000" w14:paraId="00000056">
      <w:pPr>
        <w:rPr/>
      </w:pPr>
      <w:r>
        <w:rPr>
          <w:sz w:val="22"/>
          <w:szCs w:val="22"/>
          <w:rtl w:val="0"/>
        </w:rPr>
        <w:t xml:space="preserve">Numele Județului/Județelor</w:t>
      </w:r>
      <w:r>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Maramureș</w:t>
      </w:r>
      <w:r>
        <w:rPr>
          <w:rtl w:val="0"/>
        </w:rPr>
      </w:r>
    </w:p>
    <w:p w:rsidR="00000000" w:rsidDel="00000000" w:rsidP="00000000" w:rsidRDefault="00000000" w:rsidRPr="00000000" w14:paraId="00000058">
      <w:pPr>
        <w:rPr/>
      </w:pPr>
      <w:r>
        <w:rPr>
          <w:rtl w:val="0"/>
        </w:rPr>
      </w:r>
    </w:p>
    <w:p w:rsidR="00000000" w:rsidDel="00000000" w:rsidP="00000000" w:rsidRDefault="00000000" w:rsidRPr="00000000" w14:paraId="00000059">
      <w:pPr>
        <w:rPr/>
      </w:pPr>
      <w:r>
        <w:rPr>
          <w:b w:val="1"/>
          <w:bCs w:val="1"/>
          <w:sz w:val="22"/>
          <w:szCs w:val="22"/>
          <w:rtl w:val="0"/>
        </w:rPr>
        <w:t xml:space="preserve">2.4. Încadrarea ZPB în regiunile biogeografice</w:t>
      </w:r>
      <w:r>
        <w:rPr>
          <w:rtl w:val="0"/>
        </w:rPr>
      </w:r>
    </w:p>
    <w:tbl>
      <w:tblPr>
        <w:tblStyle w:val="Table7"/>
        <w:tblW w:w="9000.0" w:type="dxa"/>
        <w:jc w:val="left"/>
        <w:tblLayout w:type="fixed"/>
        <w:tblLook w:val="0400"/>
      </w:tblPr>
      <w:tblGrid>
        <w:gridCol w:w="2935"/>
        <w:gridCol w:w="47"/>
        <w:gridCol w:w="3008"/>
        <w:gridCol w:w="47"/>
        <w:gridCol w:w="2963"/>
      </w:tblGrid>
      <w:tr>
        <w:trPr>
          <w:cantSplit w:val="0"/>
          <w:tblHeader w:val="0"/>
        </w:trPr>
        <w:tc>
          <w:tcPr/>
          <w:p w:rsidR="00000000" w:rsidDel="00000000" w:rsidP="00000000" w:rsidRDefault="00000000" w:rsidRPr="00000000" w14:paraId="0000005A">
            <w:pPr>
              <w:rPr/>
            </w:pPr>
            <w:r>
              <w:rPr>
                <w:sz w:val="22"/>
                <w:szCs w:val="22"/>
                <w:rtl w:val="0"/>
              </w:rPr>
              <w:t xml:space="preserve">☑ Alpină 100%</w:t>
            </w:r>
            <w:r>
              <w:rPr>
                <w:rtl w:val="0"/>
              </w:rPr>
            </w:r>
          </w:p>
        </w:tc>
        <w:tc>
          <w:tcPr/>
          <w:p w:rsidR="00000000" w:rsidDel="00000000" w:rsidP="00000000" w:rsidRDefault="00000000" w:rsidRPr="00000000" w14:paraId="0000005B">
            <w:pPr>
              <w:rPr/>
            </w:pPr>
            <w:r>
              <w:rPr>
                <w:rtl w:val="0"/>
              </w:rPr>
            </w:r>
          </w:p>
        </w:tc>
        <w:tc>
          <w:tcPr/>
          <w:p w:rsidR="00000000" w:rsidDel="00000000" w:rsidP="00000000" w:rsidRDefault="00000000" w:rsidRPr="00000000" w14:paraId="0000005C">
            <w:pPr>
              <w:rPr/>
            </w:pPr>
            <w:r>
              <w:rPr>
                <w:sz w:val="22"/>
                <w:szCs w:val="22"/>
                <w:rtl w:val="0"/>
              </w:rPr>
              <w:t xml:space="preserve">☐ Continentală %</w:t>
            </w:r>
            <w:r>
              <w:rPr>
                <w:rtl w:val="0"/>
              </w:rPr>
            </w:r>
          </w:p>
        </w:tc>
        <w:tc>
          <w:tcPr/>
          <w:p w:rsidR="00000000" w:rsidDel="00000000" w:rsidP="00000000" w:rsidRDefault="00000000" w:rsidRPr="00000000" w14:paraId="0000005D">
            <w:pPr>
              <w:rPr/>
            </w:pPr>
            <w:r>
              <w:rPr>
                <w:rtl w:val="0"/>
              </w:rPr>
            </w:r>
          </w:p>
        </w:tc>
        <w:tc>
          <w:tcPr/>
          <w:p w:rsidR="00000000" w:rsidDel="00000000" w:rsidP="00000000" w:rsidRDefault="00000000" w:rsidRPr="00000000" w14:paraId="0000005E">
            <w:pPr>
              <w:rPr/>
            </w:pPr>
            <w:r>
              <w:rPr>
                <w:sz w:val="22"/>
                <w:szCs w:val="22"/>
                <w:rtl w:val="0"/>
              </w:rPr>
              <w:t xml:space="preserve">☐ Panonică %</w:t>
            </w:r>
            <w:r>
              <w:rPr>
                <w:rtl w:val="0"/>
              </w:rPr>
            </w:r>
          </w:p>
        </w:tc>
      </w:tr>
      <w:tr>
        <w:trPr>
          <w:cantSplit w:val="0"/>
          <w:tblHeader w:val="0"/>
        </w:trPr>
        <w:tc>
          <w:tcPr/>
          <w:p w:rsidR="00000000" w:rsidDel="00000000" w:rsidP="00000000" w:rsidRDefault="00000000" w:rsidRPr="00000000" w14:paraId="0000005F">
            <w:pPr>
              <w:rPr/>
            </w:pPr>
            <w:r>
              <w:rPr>
                <w:sz w:val="22"/>
                <w:szCs w:val="22"/>
                <w:rtl w:val="0"/>
              </w:rPr>
              <w:t xml:space="preserve">☐ Stepică %</w:t>
            </w:r>
            <w:r>
              <w:rPr>
                <w:rtl w:val="0"/>
              </w:rPr>
            </w:r>
          </w:p>
        </w:tc>
        <w:tc>
          <w:tcPr/>
          <w:p w:rsidR="00000000" w:rsidDel="00000000" w:rsidP="00000000" w:rsidRDefault="00000000" w:rsidRPr="00000000" w14:paraId="00000060">
            <w:pPr>
              <w:rPr/>
            </w:pPr>
            <w:r>
              <w:rPr>
                <w:rtl w:val="0"/>
              </w:rPr>
            </w:r>
          </w:p>
        </w:tc>
        <w:tc>
          <w:tcPr/>
          <w:p w:rsidR="00000000" w:rsidDel="00000000" w:rsidP="00000000" w:rsidRDefault="00000000" w:rsidRPr="00000000" w14:paraId="00000061">
            <w:pPr>
              <w:rPr/>
            </w:pPr>
            <w:r>
              <w:rPr>
                <w:sz w:val="22"/>
                <w:szCs w:val="22"/>
                <w:rtl w:val="0"/>
              </w:rPr>
              <w:t xml:space="preserve">☐ Pontică %</w:t>
            </w:r>
            <w:r>
              <w:rPr>
                <w:rtl w:val="0"/>
              </w:rPr>
            </w:r>
          </w:p>
        </w:tc>
        <w:tc>
          <w:tcPr/>
          <w:p w:rsidR="00000000" w:rsidDel="00000000" w:rsidP="00000000" w:rsidRDefault="00000000" w:rsidRPr="00000000" w14:paraId="00000062">
            <w:pPr>
              <w:rPr/>
            </w:pPr>
            <w:r>
              <w:rPr>
                <w:rtl w:val="0"/>
              </w:rPr>
            </w:r>
          </w:p>
        </w:tc>
        <w:tc>
          <w:tcPr/>
          <w:p w:rsidR="00000000" w:rsidDel="00000000" w:rsidP="00000000" w:rsidRDefault="00000000" w:rsidRPr="00000000" w14:paraId="00000063">
            <w:pPr>
              <w:rPr/>
            </w:pPr>
            <w:r>
              <w:rPr>
                <w:sz w:val="22"/>
                <w:szCs w:val="22"/>
                <w:rtl w:val="0"/>
              </w:rPr>
              <w:t xml:space="preserve">☐ Marea Neagră %</w:t>
            </w:r>
            <w:r>
              <w:rPr>
                <w:rtl w:val="0"/>
              </w:rPr>
            </w:r>
          </w:p>
        </w:tc>
      </w:tr>
    </w:tbl>
    <w:p w:rsidR="00000000" w:rsidDel="00000000" w:rsidP="00000000" w:rsidRDefault="00000000" w:rsidRPr="00000000" w14:paraId="00000064">
      <w:pPr>
        <w:rPr/>
      </w:pPr>
      <w:r>
        <w:rPr>
          <w:rtl w:val="0"/>
        </w:rPr>
      </w:r>
    </w:p>
    <w:p w:rsidR="00000000" w:rsidDel="00000000" w:rsidP="00000000" w:rsidRDefault="00000000" w:rsidRPr="00000000" w14:paraId="00000065">
      <w:pPr>
        <w:jc w:val="center"/>
        <w:rPr/>
      </w:pPr>
      <w:r>
        <w:rPr>
          <w:b w:val="1"/>
          <w:bCs w:val="1"/>
          <w:sz w:val="22"/>
          <w:szCs w:val="22"/>
          <w:rtl w:val="0"/>
        </w:rPr>
        <w:t xml:space="preserve">3. Descrierea Zonelor Prioritare pentru Biodiversitate distincte de</w:t>
      </w:r>
      <w:r>
        <w:rPr>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6">
      <w:pPr>
        <w:rPr/>
      </w:pPr>
      <w:r>
        <w:rPr>
          <w:rtl w:val="0"/>
        </w:rPr>
      </w:r>
    </w:p>
    <w:p w:rsidR="00000000" w:rsidDel="00000000" w:rsidP="00000000" w:rsidRDefault="00000000" w:rsidRPr="00000000" w14:paraId="00000067">
      <w:pPr>
        <w:jc w:val="both"/>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1</w:t>
      </w:r>
      <w:r>
        <w:rPr>
          <w:rtl w:val="0"/>
        </w:rPr>
      </w:r>
    </w:p>
    <w:p w:rsidR="00000000" w:rsidDel="00000000" w:rsidP="00000000" w:rsidRDefault="00000000" w:rsidRPr="00000000" w14:paraId="00000069">
      <w:pPr>
        <w:rPr/>
      </w:pPr>
      <w:r>
        <w:rPr>
          <w:rtl w:val="0"/>
        </w:rPr>
      </w:r>
    </w:p>
    <w:p w:rsidR="00000000" w:rsidDel="00000000" w:rsidP="00000000" w:rsidRDefault="00000000" w:rsidRPr="00000000" w14:paraId="0000006A">
      <w:pPr>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B">
      <w:pPr>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C">
      <w:pPr>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ZPB1</w:t>
      </w:r>
      <w:r>
        <w:rPr>
          <w:rtl w:val="0"/>
        </w:rPr>
      </w:r>
    </w:p>
    <w:p w:rsidR="00000000" w:rsidDel="00000000" w:rsidP="00000000" w:rsidRDefault="00000000" w:rsidRPr="00000000" w14:paraId="0000006E">
      <w:pPr>
        <w:rPr/>
      </w:pPr>
      <w:r>
        <w:rPr>
          <w:rtl w:val="0"/>
        </w:rPr>
      </w:r>
    </w:p>
    <w:p w:rsidR="00000000" w:rsidDel="00000000" w:rsidP="00000000" w:rsidRDefault="00000000" w:rsidRPr="00000000" w14:paraId="0000006F">
      <w:pPr>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70">
      <w:pPr>
        <w:rPr/>
      </w:pPr>
      <w:r>
        <w:rPr>
          <w:sz w:val="22"/>
          <w:szCs w:val="22"/>
          <w:rtl w:val="0"/>
        </w:rPr>
        <w:t xml:space="preserve">Suprafața totală a ZPB (ha)</w:t>
      </w:r>
      <w:r>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Pr>
          <w:color w:val="000000"/>
          <w:sz w:val="22"/>
          <w:szCs w:val="22"/>
          <w:rtl w:val="0"/>
        </w:rPr>
        <w:t xml:space="preserve">0,89</w:t>
      </w:r>
      <w:r>
        <w:rPr>
          <w:rtl w:val="0"/>
        </w:rPr>
      </w:r>
    </w:p>
    <w:p w:rsidR="00000000" w:rsidDel="00000000" w:rsidP="00000000" w:rsidRDefault="00000000" w:rsidRPr="00000000" w14:paraId="00000072">
      <w:pPr>
        <w:rPr/>
      </w:pPr>
      <w:r>
        <w:rPr>
          <w:rtl w:val="0"/>
        </w:rPr>
      </w:r>
    </w:p>
    <w:p w:rsidR="00000000" w:rsidDel="00000000" w:rsidP="00000000" w:rsidRDefault="00000000" w:rsidRPr="00000000" w14:paraId="00000073">
      <w:pPr>
        <w:rPr/>
      </w:pPr>
      <w:r>
        <w:rPr>
          <w:sz w:val="22"/>
          <w:szCs w:val="22"/>
          <w:rtl w:val="0"/>
        </w:rPr>
        <w:t xml:space="preserve">Documente relevante în raport cu ZPB</w:t>
      </w:r>
      <w:r>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 RONPA0584 Peștera cu Oase;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ți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2525/2016 privind constituirea Catalogului național al pădurilor virgine și cvasivirgine din România,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                     </w:t>
      </w:r>
    </w:p>
    <w:p w:rsidR="00000000" w:rsidDel="00000000" w:rsidP="00000000" w:rsidRDefault="00000000" w:rsidRPr="00000000" w14:paraId="00000078">
      <w:pPr>
        <w:rPr/>
      </w:pPr>
      <w:r>
        <w:rPr>
          <w:rtl w:val="0"/>
        </w:rPr>
      </w:r>
    </w:p>
    <w:p w:rsidR="00000000" w:rsidDel="00000000" w:rsidP="00000000" w:rsidRDefault="00000000" w:rsidRPr="00000000" w14:paraId="00000079">
      <w:pPr>
        <w:rPr/>
      </w:pPr>
      <w:r>
        <w:rPr>
          <w:sz w:val="22"/>
          <w:szCs w:val="22"/>
          <w:rtl w:val="0"/>
        </w:rPr>
        <w:t xml:space="preserve">Informația ecologică</w:t>
      </w:r>
      <w:r>
        <w:rPr>
          <w:rtl w:val="0"/>
        </w:rPr>
      </w:r>
    </w:p>
    <w:tbl>
      <w:tblPr>
        <w:tblStyle w:val="Table8"/>
        <w:tblW w:w="9000.0" w:type="dxa"/>
        <w:jc w:val="left"/>
        <w:tblLayout w:type="fixed"/>
        <w:tblLook w:val="0400"/>
      </w:tblPr>
      <w:tblGrid>
        <w:gridCol w:w="4357"/>
        <w:gridCol w:w="464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Pr>
                <w:sz w:val="22"/>
                <w:szCs w:val="22"/>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sz w:val="22"/>
                <w:szCs w:val="22"/>
              </w:rPr>
            </w:pPr>
            <w:r>
              <w:rPr>
                <w:b w:val="1"/>
                <w:bCs w:val="1"/>
                <w:sz w:val="22"/>
                <w:szCs w:val="22"/>
                <w:rtl w:val="0"/>
              </w:rPr>
              <w:t xml:space="preserve">Habitate de păduri temperate europene: </w:t>
            </w:r>
            <w:r>
              <w:rPr>
                <w:sz w:val="22"/>
                <w:szCs w:val="22"/>
                <w:rtl w:val="0"/>
              </w:rPr>
              <w:t xml:space="preserve">9110 Păduri de fag de tip Luzulo-Fagetum</w:t>
            </w:r>
            <w:r>
              <w:rPr>
                <w:rtl w:val="0"/>
              </w:rPr>
            </w:r>
          </w:p>
          <w:p w:rsidR="00000000" w:rsidDel="00000000" w:rsidP="00000000" w:rsidRDefault="00000000" w:rsidRPr="00000000" w14:paraId="0000007E">
            <w:pPr>
              <w:spacing w:after="0" w:lineRule="auto"/>
              <w:jc w:val="both"/>
              <w:rPr>
                <w:b w:val="1"/>
                <w:bCs w:val="1"/>
                <w:sz w:val="22"/>
                <w:szCs w:val="22"/>
              </w:rPr>
            </w:pPr>
            <w:r>
              <w:rPr>
                <w:b w:val="1"/>
                <w:bCs w:val="1"/>
                <w:sz w:val="22"/>
                <w:szCs w:val="22"/>
                <w:rtl w:val="0"/>
              </w:rPr>
              <w:t xml:space="preserve">Habitate stâncoase și peșteri:</w:t>
            </w:r>
          </w:p>
          <w:p w:rsidR="00000000" w:rsidDel="00000000" w:rsidP="00000000" w:rsidRDefault="00000000" w:rsidRPr="00000000" w14:paraId="0000007F">
            <w:pPr>
              <w:spacing w:after="0" w:lineRule="auto"/>
              <w:jc w:val="both"/>
              <w:rPr/>
            </w:pPr>
            <w:r>
              <w:rPr>
                <w:sz w:val="22"/>
                <w:szCs w:val="22"/>
                <w:rtl w:val="0"/>
              </w:rPr>
              <w:t xml:space="preserve">8310 Peșteri închise accesului public</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Pr>
                <w:sz w:val="22"/>
                <w:szCs w:val="22"/>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83">
            <w:pPr>
              <w:spacing w:after="0" w:lineRule="auto"/>
              <w:rPr>
                <w:i w:val="1"/>
                <w:iCs w:val="1"/>
                <w:sz w:val="22"/>
                <w:szCs w:val="22"/>
              </w:rPr>
            </w:pPr>
            <w:r>
              <w:rPr>
                <w:i w:val="1"/>
                <w:iCs w:val="1"/>
                <w:sz w:val="22"/>
                <w:szCs w:val="22"/>
                <w:rtl w:val="0"/>
              </w:rPr>
              <w:t>1213 Rana temporaria</w:t>
            </w:r>
            <w:r>
              <w:rPr>
                <w:rtl w:val="0"/>
              </w:rPr>
            </w:r>
          </w:p>
          <w:p w:rsidR="00000000" w:rsidDel="00000000" w:rsidP="00000000" w:rsidRDefault="00000000" w:rsidRPr="00000000" w14:paraId="00000084">
            <w:pPr>
              <w:spacing w:after="0" w:lineRule="auto"/>
              <w:rPr>
                <w:b w:val="1"/>
                <w:bCs w:val="1"/>
                <w:i w:val="1"/>
                <w:iCs w:val="1"/>
                <w:sz w:val="22"/>
                <w:szCs w:val="22"/>
              </w:rPr>
            </w:pPr>
            <w:r>
              <w:rPr>
                <w:b w:val="1"/>
                <w:bCs w:val="1"/>
                <w:i w:val="1"/>
                <w:iCs w:val="1"/>
                <w:sz w:val="22"/>
                <w:szCs w:val="22"/>
                <w:rtl w:val="0"/>
              </w:rPr>
              <w:t xml:space="preserve">Mamifere:</w:t>
            </w:r>
          </w:p>
          <w:p w:rsidR="00000000" w:rsidDel="00000000" w:rsidP="00000000" w:rsidRDefault="00000000" w:rsidRPr="00000000" w14:paraId="00000085">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86">
            <w:pPr>
              <w:spacing w:after="0" w:lineRule="auto"/>
              <w:rPr>
                <w:i w:val="1"/>
                <w:iCs w:val="1"/>
                <w:sz w:val="22"/>
                <w:szCs w:val="22"/>
              </w:rPr>
            </w:pPr>
            <w:r>
              <w:rPr>
                <w:i w:val="1"/>
                <w:iCs w:val="1"/>
                <w:sz w:val="22"/>
                <w:szCs w:val="22"/>
                <w:rtl w:val="0"/>
              </w:rPr>
              <w:t xml:space="preserve">1324 Myotis myotis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Pr>
                <w:sz w:val="22"/>
                <w:szCs w:val="22"/>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sz w:val="22"/>
                <w:szCs w:val="22"/>
              </w:rPr>
            </w:pPr>
            <w:r>
              <w:rPr>
                <w:sz w:val="22"/>
                <w:szCs w:val="22"/>
                <w:rtl w:val="0"/>
              </w:rPr>
              <w:t xml:space="preserve">Această ZPB reprezintă un sit de o valoare ecologică, paleontologică și științifică excepțională. Micro-rezervația este acoperită de o pădure virgină de fag de tip acidofil, un ecosistem forestier intact, neatins de activitățile umane, caracterizat prin prezența arborilor monumentali și a unei cantități însemnate de lemn mort. Această structură forestieră seculară asigură un microclimat intern extrem de stabil și stabilizarea perfectă a versanților carstici. Nucleul central al sitului este definit de peștera închisă accesului public, un mediu subteran protejat riguros împotriva perturbărilor antropice, faimos nu doar ca monument paleontologic fosilifer, ci și ca spațiu de adăpost absolut liniștit. În ceea ce privește fauna, mediul subteran și cel forestier virgin funcționează într-o interdependență perfectă. Peștera servește drept refugiu critic și loc de hibernare sigur pentru specii periclitate de mamifere zburătoare, remarcându-se liliacul mic cu potcoavă și liliacul comun mare. Deși liliecii folosesc peștera ca adăpost, ei nu sunt specii exclusiv cavernicole (troglobionte), ci depind direct de pădurea virgină din jur, care le oferă un teritoriu de vânătoare bogat în insecte. La nivelul solului forestier, prezența izvoarelor curate și a micro-habitatelor umede susține populații de amfibieni sensibili, precum izvorașul cu burtă galbenă și broasca roșie de munte. Prin urmare, acest mic eșantion de natură sălbatică protejează un echilibru ecologic perfect conservat, fiind un veritabil laborator natural pentru evoluția proceselor biologice nealterate.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pPr>
            <w:r>
              <w:rPr>
                <w:sz w:val="22"/>
                <w:szCs w:val="22"/>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sz w:val="22"/>
                <w:szCs w:val="22"/>
              </w:rPr>
            </w:pPr>
            <w:r>
              <w:rPr>
                <w:sz w:val="22"/>
                <w:szCs w:val="22"/>
                <w:rtl w:val="0"/>
              </w:rPr>
              <w:t xml:space="preserve">G01.04.03 Vizite de agrement în peșteri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Pr>
                <w:sz w:val="22"/>
                <w:szCs w:val="22"/>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8D">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E">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F">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0">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1">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2">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3">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4">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5">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6">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7">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8">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9">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A">
            <w:pPr>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p w:rsidR="00000000" w:rsidDel="00000000" w:rsidP="00000000" w:rsidRDefault="00000000" w:rsidRPr="00000000" w14:paraId="0000009B">
            <w:pPr>
              <w:jc w:val="both"/>
              <w:rPr>
                <w:sz w:val="22"/>
                <w:szCs w:val="22"/>
              </w:rPr>
            </w:pPr>
            <w:r>
              <w:rPr>
                <w:b w:val="1"/>
                <w:bCs w:val="1"/>
                <w:sz w:val="22"/>
                <w:szCs w:val="22"/>
                <w:rtl w:val="0"/>
              </w:rPr>
              <w:t xml:space="preserve">Obiective și măsuri de non-intervenție pentru ecosistemele de peșteră (Peştera cu Oase (MM) – Clasa B)</w:t>
            </w:r>
            <w:r>
              <w:rPr>
                <w:rtl w:val="0"/>
              </w:rPr>
            </w:r>
          </w:p>
          <w:p w:rsidR="00000000" w:rsidDel="00000000" w:rsidP="00000000" w:rsidRDefault="00000000" w:rsidRPr="00000000" w14:paraId="0000009C">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D">
            <w:pPr>
              <w:jc w:val="both"/>
              <w:rPr>
                <w:sz w:val="22"/>
                <w:szCs w:val="22"/>
              </w:rPr>
            </w:pPr>
            <w:r>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9E">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F">
            <w:pPr>
              <w:jc w:val="both"/>
              <w:rPr>
                <w:sz w:val="22"/>
                <w:szCs w:val="22"/>
              </w:rPr>
            </w:pPr>
            <w:r>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A0">
            <w:pPr>
              <w:jc w:val="both"/>
              <w:rPr>
                <w:sz w:val="22"/>
                <w:szCs w:val="22"/>
              </w:rPr>
            </w:pPr>
            <w:r>
              <w:rPr>
                <w:sz w:val="22"/>
                <w:szCs w:val="22"/>
                <w:rtl w:val="0"/>
              </w:rPr>
              <w:t xml:space="preserve">2. Menținerea în stare nealterată a depozitelor sedimentare și a speleotemelor.</w:t>
            </w:r>
          </w:p>
          <w:p w:rsidR="00000000" w:rsidDel="00000000" w:rsidP="00000000" w:rsidRDefault="00000000" w:rsidRPr="00000000" w14:paraId="000000A1">
            <w:pPr>
              <w:jc w:val="both"/>
              <w:rPr>
                <w:sz w:val="22"/>
                <w:szCs w:val="22"/>
              </w:rPr>
            </w:pPr>
            <w:r>
              <w:rPr>
                <w:sz w:val="22"/>
                <w:szCs w:val="22"/>
                <w:rtl w:val="0"/>
              </w:rPr>
              <w:t xml:space="preserve">3. Conservarea biodiversității specifice mediului cavernicol și a coloniilor de chiroptere.</w:t>
            </w:r>
          </w:p>
          <w:p w:rsidR="00000000" w:rsidDel="00000000" w:rsidP="00000000" w:rsidRDefault="00000000" w:rsidRPr="00000000" w14:paraId="000000A2">
            <w:pPr>
              <w:jc w:val="both"/>
              <w:rPr>
                <w:sz w:val="22"/>
                <w:szCs w:val="22"/>
              </w:rPr>
            </w:pPr>
            <w:r>
              <w:rPr>
                <w:sz w:val="22"/>
                <w:szCs w:val="22"/>
                <w:rtl w:val="0"/>
              </w:rPr>
              <w:t xml:space="preserve">4. Limitarea strictă a accesului și a presiunilor antropice.</w:t>
            </w:r>
          </w:p>
          <w:p w:rsidR="00000000" w:rsidDel="00000000" w:rsidP="00000000" w:rsidRDefault="00000000" w:rsidRPr="00000000" w14:paraId="000000A3">
            <w:pPr>
              <w:jc w:val="both"/>
              <w:rPr>
                <w:sz w:val="22"/>
                <w:szCs w:val="22"/>
              </w:rPr>
            </w:pPr>
            <w:r>
              <w:rPr>
                <w:sz w:val="22"/>
                <w:szCs w:val="22"/>
                <w:rtl w:val="0"/>
              </w:rPr>
              <w:t xml:space="preserve">5. Monitorizarea stării de conservare și a eventualelor degradări.</w:t>
            </w:r>
          </w:p>
          <w:p w:rsidR="00000000" w:rsidDel="00000000" w:rsidP="00000000" w:rsidRDefault="00000000" w:rsidRPr="00000000" w14:paraId="000000A4">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5">
            <w:pPr>
              <w:jc w:val="both"/>
              <w:rPr>
                <w:sz w:val="22"/>
                <w:szCs w:val="22"/>
              </w:rPr>
            </w:pPr>
            <w:r>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A6">
            <w:pPr>
              <w:jc w:val="both"/>
              <w:rPr>
                <w:sz w:val="22"/>
                <w:szCs w:val="22"/>
              </w:rPr>
            </w:pPr>
            <w:r>
              <w:rPr>
                <w:sz w:val="22"/>
                <w:szCs w:val="22"/>
                <w:rtl w:val="0"/>
              </w:rPr>
              <w:t xml:space="preserve">2. Accesul publicului este interzis sau strict limitat în sectoarele sensibile ale peșterilor.</w:t>
            </w:r>
          </w:p>
          <w:p w:rsidR="00000000" w:rsidDel="00000000" w:rsidP="00000000" w:rsidRDefault="00000000" w:rsidRPr="00000000" w14:paraId="000000A7">
            <w:pPr>
              <w:jc w:val="both"/>
              <w:rPr>
                <w:sz w:val="22"/>
                <w:szCs w:val="22"/>
              </w:rPr>
            </w:pPr>
            <w:r>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A8">
            <w:pPr>
              <w:jc w:val="both"/>
              <w:rPr>
                <w:sz w:val="22"/>
                <w:szCs w:val="22"/>
              </w:rPr>
            </w:pPr>
            <w:r>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A9">
            <w:pPr>
              <w:jc w:val="both"/>
              <w:rPr>
                <w:sz w:val="22"/>
                <w:szCs w:val="22"/>
              </w:rPr>
            </w:pPr>
            <w:r>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AA">
            <w:pPr>
              <w:jc w:val="both"/>
              <w:rPr>
                <w:sz w:val="22"/>
                <w:szCs w:val="22"/>
              </w:rPr>
            </w:pPr>
            <w:r>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AB">
            <w:pPr>
              <w:jc w:val="both"/>
              <w:rPr>
                <w:sz w:val="22"/>
                <w:szCs w:val="22"/>
              </w:rPr>
            </w:pPr>
            <w:r>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AC">
            <w:pPr>
              <w:jc w:val="both"/>
              <w:rPr>
                <w:sz w:val="22"/>
                <w:szCs w:val="22"/>
              </w:rPr>
            </w:pPr>
            <w:r>
              <w:rPr>
                <w:sz w:val="22"/>
                <w:szCs w:val="22"/>
                <w:rtl w:val="0"/>
              </w:rPr>
              <w:t xml:space="preserve">8. Se monitorizează periodic parametrii de microclimat, starea habitatelor și eventualele presiuni antropice sau degradări.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Pr>
                <w:sz w:val="22"/>
                <w:szCs w:val="22"/>
                <w:rtl w:val="0"/>
              </w:rPr>
              <w:t xml:space="preserve">Tipul de proprietate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Pr>
                <w:sz w:val="22"/>
                <w:szCs w:val="22"/>
                <w:rtl w:val="0"/>
              </w:rPr>
              <w:t xml:space="preserve">Publică</w:t>
            </w:r>
            <w:r>
              <w:rPr>
                <w:rtl w:val="0"/>
              </w:rPr>
            </w:r>
          </w:p>
        </w:tc>
      </w:tr>
    </w:tbl>
    <w:p w:rsidR="00000000" w:rsidDel="00000000" w:rsidP="00000000" w:rsidRDefault="00000000" w:rsidRPr="00000000" w14:paraId="000000AF">
      <w:pPr>
        <w:rPr>
          <w:sz w:val="22"/>
          <w:szCs w:val="22"/>
        </w:rPr>
      </w:pPr>
      <w:r>
        <w:rPr>
          <w:rtl w:val="0"/>
        </w:rPr>
      </w:r>
    </w:p>
    <w:p w:rsidR="00000000" w:rsidDel="00000000" w:rsidP="00000000" w:rsidRDefault="00000000" w:rsidRPr="00000000" w14:paraId="000000B0">
      <w:pPr>
        <w:rPr>
          <w:sz w:val="22"/>
          <w:szCs w:val="22"/>
        </w:rPr>
      </w:pPr>
      <w:r>
        <w:rPr>
          <w:b w:val="1"/>
          <w:bCs w:val="1"/>
          <w:sz w:val="22"/>
          <w:szCs w:val="22"/>
          <w:rtl w:val="0"/>
        </w:rPr>
        <w:t xml:space="preserve">3.3. Bibliografie </w:t>
      </w:r>
      <w:r>
        <w:rPr>
          <w:rtl w:val="0"/>
        </w:rPr>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Dumitru Iștvan (1993). Carstul din Piatra Pintii de la Poiana Botizii (Munții Lăpușului). Anuarul științific al Societății Ardelene de Speologie – România, p. 55-64.</w:t>
      </w:r>
    </w:p>
    <w:p w:rsidR="00000000" w:rsidDel="00000000" w:rsidP="00000000" w:rsidRDefault="00000000" w:rsidRPr="00000000" w14:paraId="000000B2">
      <w:pPr>
        <w:rPr>
          <w:sz w:val="22"/>
          <w:szCs w:val="22"/>
        </w:rPr>
      </w:pPr>
      <w:r>
        <w:rPr>
          <w:rtl w:val="0"/>
        </w:rPr>
      </w:r>
    </w:p>
    <w:p w:rsidR="00000000" w:rsidDel="00000000" w:rsidP="00000000" w:rsidRDefault="00000000" w:rsidRPr="00000000" w14:paraId="000000B3">
      <w:pPr>
        <w:jc w:val="center"/>
        <w:rPr/>
      </w:pPr>
      <w:r>
        <w:rPr>
          <w:b w:val="1"/>
          <w:bCs w:val="1"/>
          <w:sz w:val="22"/>
          <w:szCs w:val="22"/>
          <w:rtl w:val="0"/>
        </w:rPr>
        <w:t xml:space="preserve">4. Consultări publice cu privire la desemnarea</w:t>
      </w:r>
      <w:r>
        <w:rPr>
          <w:rtl w:val="0"/>
        </w:rPr>
        <w:br w:type="textWrapping"/>
      </w:r>
      <w:r>
        <w:rPr>
          <w:b w:val="1"/>
          <w:bCs w:val="1"/>
          <w:sz w:val="22"/>
          <w:szCs w:val="22"/>
          <w:rtl w:val="0"/>
        </w:rPr>
        <w:t xml:space="preserve"> Zonelor Prioritare pentru Biodiversitate</w:t>
      </w:r>
      <w:r>
        <w:rPr>
          <w:rtl w:val="0"/>
        </w:rPr>
      </w:r>
    </w:p>
    <w:p w:rsidR="00000000" w:rsidDel="00000000" w:rsidP="00000000" w:rsidRDefault="00000000" w:rsidRPr="00000000" w14:paraId="000000B4">
      <w:pPr>
        <w:rPr/>
      </w:pPr>
      <w:r>
        <w:rPr>
          <w:rtl w:val="0"/>
        </w:rPr>
      </w:r>
    </w:p>
    <w:p w:rsidR="00000000" w:rsidDel="00000000" w:rsidP="00000000" w:rsidRDefault="00000000" w:rsidRPr="00000000" w14:paraId="000000B5">
      <w:pPr>
        <w:rPr/>
      </w:pPr>
      <w:r>
        <w:rPr>
          <w:sz w:val="22"/>
          <w:szCs w:val="22"/>
          <w:rtl w:val="0"/>
        </w:rPr>
        <w:t xml:space="preserve">Detalii privind consultările publice realizate:</w:t>
      </w:r>
      <w:r>
        <w:rPr>
          <w:rtl w:val="0"/>
        </w:rPr>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Consultările publice au fost realizate la: 5 septembrie 2024 - Baia Mare. Ulterior, în cadrul procesului de consultare extins la nivel național, au avut loc consultări suplimentară online în data de 10 decembrie 2025, cu participarea factorilor interesați relevanți din județul Maramureș și o serie de consultări în perioada 9-10 februarie 2026 la Prefectura Maramureș. </w:t>
      </w:r>
    </w:p>
    <w:p w:rsidR="00000000" w:rsidDel="00000000" w:rsidP="00000000" w:rsidRDefault="00000000" w:rsidRPr="00000000" w14:paraId="000000B7">
      <w:pPr>
        <w:rPr/>
      </w:pPr>
      <w:r>
        <w:rPr>
          <w:rtl w:val="0"/>
        </w:rPr>
      </w:r>
    </w:p>
    <w:p w:rsidR="00000000" w:rsidDel="00000000" w:rsidP="00000000" w:rsidRDefault="00000000" w:rsidRPr="00000000" w14:paraId="000000B8">
      <w:pPr>
        <w:jc w:val="center"/>
        <w:rPr/>
      </w:pPr>
      <w:r>
        <w:rPr>
          <w:b w:val="1"/>
          <w:bCs w:val="1"/>
          <w:sz w:val="22"/>
          <w:szCs w:val="22"/>
          <w:rtl w:val="0"/>
        </w:rPr>
        <w:t xml:space="preserve">5. Harta Zonelor Prioritare pentru Biodiversitate </w:t>
      </w:r>
      <w:r>
        <w:rPr>
          <w:rtl w:val="0"/>
        </w:rPr>
      </w:r>
    </w:p>
    <w:p w:rsidR="00000000" w:rsidDel="00000000" w:rsidP="00000000" w:rsidRDefault="00000000" w:rsidRPr="00000000" w14:paraId="000000B9">
      <w:pPr>
        <w:spacing w:after="0" w:lineRule="auto"/>
        <w:rPr/>
      </w:pPr>
      <w:r>
        <w:rPr>
          <w:rtl w:val="0"/>
        </w:rPr>
      </w:r>
    </w:p>
    <w:p w:rsidR="00000000" w:rsidDel="00000000" w:rsidP="00000000" w:rsidRDefault="00000000" w:rsidRPr="00000000" w14:paraId="000000BA">
      <w:pPr>
        <w:spacing w:line="256"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0BB">
      <w:pPr>
        <w:rPr>
          <w:sz w:val="22"/>
          <w:szCs w:val="22"/>
        </w:rPr>
      </w:pPr>
      <w:r>
        <w:rPr>
          <w:sz w:val="22"/>
          <w:szCs w:val="22"/>
          <w:rtl w:val="0"/>
        </w:rPr>
        <w:t xml:space="preserve">Link: </w:t>
      </w:r>
      <w:hyperlink r:id="rId7">
        <w:r>
          <w:rPr>
            <w:color w:val="467886"/>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0BC">
      <w:pPr>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hvVWtQACUW5ttGFyVKlhr/ZaSw==">CgMxLjA4AHIhMU0xS1hyX09CY0VtQ1dGalg1MzR1UUd3dE9kMkVuWTh2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